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5B1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ascii="仿宋" w:hAnsi="仿宋" w:eastAsia="仿宋" w:cs="仿宋"/>
          <w:i w:val="0"/>
          <w:iCs w:val="0"/>
          <w:caps w:val="0"/>
          <w:color w:val="484848"/>
          <w:spacing w:val="0"/>
          <w:sz w:val="32"/>
          <w:szCs w:val="32"/>
          <w:u w:val="none"/>
        </w:rPr>
      </w:pPr>
      <w:r>
        <w:rPr>
          <w:rFonts w:hint="eastAsia" w:ascii="宋体" w:hAnsi="宋体" w:eastAsia="宋体" w:cs="宋体"/>
          <w:b/>
          <w:bCs/>
          <w:i w:val="0"/>
          <w:iCs w:val="0"/>
          <w:caps w:val="0"/>
          <w:color w:val="484848"/>
          <w:spacing w:val="0"/>
          <w:sz w:val="44"/>
          <w:szCs w:val="44"/>
          <w:u w:val="none"/>
          <w:bdr w:val="none" w:color="auto" w:sz="0" w:space="0"/>
        </w:rPr>
        <w:t>生物医学新技术临床转化应用</w:t>
      </w:r>
    </w:p>
    <w:p w14:paraId="1062E6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hint="eastAsia" w:ascii="仿宋" w:hAnsi="仿宋" w:eastAsia="仿宋" w:cs="仿宋"/>
          <w:i w:val="0"/>
          <w:iCs w:val="0"/>
          <w:caps w:val="0"/>
          <w:color w:val="484848"/>
          <w:spacing w:val="0"/>
          <w:sz w:val="32"/>
          <w:szCs w:val="32"/>
          <w:u w:val="none"/>
        </w:rPr>
      </w:pPr>
      <w:r>
        <w:rPr>
          <w:rFonts w:hint="eastAsia" w:ascii="宋体" w:hAnsi="宋体" w:eastAsia="宋体" w:cs="宋体"/>
          <w:b/>
          <w:bCs/>
          <w:i w:val="0"/>
          <w:iCs w:val="0"/>
          <w:caps w:val="0"/>
          <w:color w:val="484848"/>
          <w:spacing w:val="0"/>
          <w:sz w:val="44"/>
          <w:szCs w:val="44"/>
          <w:u w:val="none"/>
          <w:bdr w:val="none" w:color="auto" w:sz="0" w:space="0"/>
        </w:rPr>
        <w:t>审批工作规范</w:t>
      </w:r>
    </w:p>
    <w:p w14:paraId="367AB9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hint="eastAsia" w:ascii="仿宋" w:hAnsi="仿宋" w:eastAsia="仿宋" w:cs="仿宋"/>
          <w:i w:val="0"/>
          <w:iCs w:val="0"/>
          <w:caps w:val="0"/>
          <w:color w:val="484848"/>
          <w:spacing w:val="0"/>
          <w:sz w:val="32"/>
          <w:szCs w:val="32"/>
          <w:u w:val="none"/>
        </w:rPr>
      </w:pPr>
      <w:r>
        <w:rPr>
          <w:rFonts w:ascii="楷体" w:hAnsi="楷体" w:eastAsia="楷体" w:cs="楷体"/>
          <w:i w:val="0"/>
          <w:iCs w:val="0"/>
          <w:caps w:val="0"/>
          <w:color w:val="484848"/>
          <w:spacing w:val="0"/>
          <w:sz w:val="32"/>
          <w:szCs w:val="32"/>
          <w:u w:val="none"/>
          <w:bdr w:val="none" w:color="auto" w:sz="0" w:space="0"/>
        </w:rPr>
        <w:t>（试行）</w:t>
      </w:r>
    </w:p>
    <w:p w14:paraId="0CD4B8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p>
    <w:p w14:paraId="281F13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color w:val="484848"/>
          <w:sz w:val="32"/>
          <w:szCs w:val="32"/>
          <w:u w:val="none"/>
        </w:rPr>
      </w:pPr>
      <w:r>
        <w:rPr>
          <w:rFonts w:ascii="黑体" w:hAnsi="宋体" w:eastAsia="黑体" w:cs="黑体"/>
          <w:i w:val="0"/>
          <w:iCs w:val="0"/>
          <w:caps w:val="0"/>
          <w:color w:val="484848"/>
          <w:spacing w:val="0"/>
          <w:sz w:val="32"/>
          <w:szCs w:val="32"/>
          <w:u w:val="none"/>
          <w:bdr w:val="none" w:color="auto" w:sz="0" w:space="0"/>
        </w:rPr>
        <w:t>第一章 总则</w:t>
      </w:r>
    </w:p>
    <w:p w14:paraId="22D8D2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第一条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为规范生物医学新技术临床转化应用审批，促进生物医学新技术创新发展与合规转化，保障医疗质量安全，根据《生物医学新技术临床研究和临床转化应用管理条例》，制定本规范。</w:t>
      </w:r>
    </w:p>
    <w:p w14:paraId="232881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本规范适用于生物医学新技术临床转化应用审批的申请、受理、审查、决定、监督管理等工作。</w:t>
      </w:r>
    </w:p>
    <w:p w14:paraId="50E54C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本规范所称生物医学新技术，是指以对健康状态作出判断或者预防治疗疾病、促进健康为目的，运用生物学原理，作用于人体细胞、分子水平，在我国境内尚未应用于临床的医学专业手段和措施。</w:t>
      </w:r>
    </w:p>
    <w:p w14:paraId="16EB04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第三条</w:t>
      </w:r>
      <w:r>
        <w:rPr>
          <w:rFonts w:hint="eastAsia" w:ascii="仿宋" w:hAnsi="仿宋" w:eastAsia="仿宋" w:cs="仿宋"/>
          <w:i w:val="0"/>
          <w:iCs w:val="0"/>
          <w:caps w:val="0"/>
          <w:color w:val="484848"/>
          <w:spacing w:val="0"/>
          <w:sz w:val="32"/>
          <w:szCs w:val="32"/>
          <w:u w:val="none"/>
          <w:bdr w:val="none" w:color="auto" w:sz="0" w:space="0"/>
        </w:rPr>
        <w:t> 已列入《生物医学新技术临床研究备案指导清单》的生物医学新技术，符合下列要求之一的，纳入生物医学新技术临床</w:t>
      </w:r>
      <w:r>
        <w:rPr>
          <w:rFonts w:hint="eastAsia" w:ascii="仿宋" w:hAnsi="仿宋" w:eastAsia="仿宋" w:cs="仿宋"/>
          <w:i w:val="0"/>
          <w:iCs w:val="0"/>
          <w:caps w:val="0"/>
          <w:color w:val="484848"/>
          <w:spacing w:val="0"/>
          <w:sz w:val="32"/>
          <w:szCs w:val="32"/>
          <w:highlight w:val="cyan"/>
          <w:u w:val="none"/>
          <w:bdr w:val="none" w:color="auto" w:sz="0" w:space="0"/>
        </w:rPr>
        <w:t>转化应用审批范围</w:t>
      </w:r>
      <w:r>
        <w:rPr>
          <w:rFonts w:hint="eastAsia" w:ascii="仿宋" w:hAnsi="仿宋" w:eastAsia="仿宋" w:cs="仿宋"/>
          <w:i w:val="0"/>
          <w:iCs w:val="0"/>
          <w:caps w:val="0"/>
          <w:color w:val="484848"/>
          <w:spacing w:val="0"/>
          <w:sz w:val="32"/>
          <w:szCs w:val="32"/>
          <w:u w:val="none"/>
          <w:bdr w:val="none" w:color="auto" w:sz="0" w:space="0"/>
        </w:rPr>
        <w:t>：</w:t>
      </w:r>
    </w:p>
    <w:p w14:paraId="368E4D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（一）个性化程度高，国内尚没</w:t>
      </w:r>
      <w:r>
        <w:rPr>
          <w:rFonts w:hint="eastAsia" w:ascii="仿宋" w:hAnsi="仿宋" w:eastAsia="仿宋" w:cs="仿宋"/>
          <w:i w:val="0"/>
          <w:iCs w:val="0"/>
          <w:caps w:val="0"/>
          <w:color w:val="484848"/>
          <w:spacing w:val="0"/>
          <w:sz w:val="32"/>
          <w:szCs w:val="32"/>
          <w:highlight w:val="cyan"/>
          <w:u w:val="none"/>
          <w:bdr w:val="none" w:color="auto" w:sz="0" w:space="0"/>
        </w:rPr>
        <w:t>有使用同类机制原理的药品获得上市许可或者已启动确证性临床试验</w:t>
      </w:r>
      <w:r>
        <w:rPr>
          <w:rFonts w:hint="eastAsia" w:ascii="仿宋" w:hAnsi="仿宋" w:eastAsia="仿宋" w:cs="仿宋"/>
          <w:i w:val="0"/>
          <w:iCs w:val="0"/>
          <w:caps w:val="0"/>
          <w:color w:val="484848"/>
          <w:spacing w:val="0"/>
          <w:sz w:val="32"/>
          <w:szCs w:val="32"/>
          <w:u w:val="none"/>
          <w:bdr w:val="none" w:color="auto" w:sz="0" w:space="0"/>
        </w:rPr>
        <w:t>；</w:t>
      </w:r>
    </w:p>
    <w:p w14:paraId="5CFAE9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（二）用于</w:t>
      </w:r>
      <w:r>
        <w:rPr>
          <w:rFonts w:hint="eastAsia" w:ascii="仿宋" w:hAnsi="仿宋" w:eastAsia="仿宋" w:cs="仿宋"/>
          <w:i w:val="0"/>
          <w:iCs w:val="0"/>
          <w:caps w:val="0"/>
          <w:color w:val="484848"/>
          <w:spacing w:val="0"/>
          <w:sz w:val="32"/>
          <w:szCs w:val="32"/>
          <w:highlight w:val="cyan"/>
          <w:u w:val="none"/>
          <w:bdr w:val="none" w:color="auto" w:sz="0" w:space="0"/>
        </w:rPr>
        <w:t>治疗罕见病</w:t>
      </w:r>
      <w:r>
        <w:rPr>
          <w:rFonts w:hint="eastAsia" w:ascii="仿宋" w:hAnsi="仿宋" w:eastAsia="仿宋" w:cs="仿宋"/>
          <w:i w:val="0"/>
          <w:iCs w:val="0"/>
          <w:caps w:val="0"/>
          <w:color w:val="484848"/>
          <w:spacing w:val="0"/>
          <w:sz w:val="32"/>
          <w:szCs w:val="32"/>
          <w:u w:val="none"/>
          <w:bdr w:val="none" w:color="auto" w:sz="0" w:space="0"/>
        </w:rPr>
        <w:t>，国内尚没有使用同类机制原理、针对相同适应症的药品获得上市许可或者已启动确证性临床试验。</w:t>
      </w:r>
    </w:p>
    <w:p w14:paraId="3C799A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对符合《医疗器械监督管理条例》医疗器械定义的，应当按照医疗器械法规要求开展相关注册工作，不纳入生物医学新技术临床转化应用审批范围。</w:t>
      </w:r>
    </w:p>
    <w:p w14:paraId="11C97B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第四条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国家卫生健康委负责全国生物医学新技术临床转化应用审批和监督管理工作。</w:t>
      </w:r>
    </w:p>
    <w:p w14:paraId="0DB88B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中国生物技术发展中心（以下简称生物中心）</w:t>
      </w:r>
      <w:r>
        <w:rPr>
          <w:rFonts w:hint="eastAsia" w:ascii="仿宋" w:hAnsi="仿宋" w:eastAsia="仿宋" w:cs="仿宋"/>
          <w:i w:val="0"/>
          <w:iCs w:val="0"/>
          <w:caps w:val="0"/>
          <w:color w:val="484848"/>
          <w:spacing w:val="0"/>
          <w:sz w:val="32"/>
          <w:szCs w:val="32"/>
          <w:u w:val="none"/>
          <w:bdr w:val="none" w:color="auto" w:sz="0" w:space="0"/>
        </w:rPr>
        <w:t>作为专业机构，承担生物医学新技术临床</w:t>
      </w:r>
      <w:r>
        <w:rPr>
          <w:rFonts w:hint="eastAsia" w:ascii="仿宋" w:hAnsi="仿宋" w:eastAsia="仿宋" w:cs="仿宋"/>
          <w:i w:val="0"/>
          <w:iCs w:val="0"/>
          <w:caps w:val="0"/>
          <w:color w:val="484848"/>
          <w:spacing w:val="0"/>
          <w:sz w:val="32"/>
          <w:szCs w:val="32"/>
          <w:highlight w:val="cyan"/>
          <w:u w:val="none"/>
          <w:bdr w:val="none" w:color="auto" w:sz="0" w:space="0"/>
        </w:rPr>
        <w:t>转化应用申请的评估</w:t>
      </w:r>
      <w:r>
        <w:rPr>
          <w:rFonts w:hint="eastAsia" w:ascii="仿宋" w:hAnsi="仿宋" w:eastAsia="仿宋" w:cs="仿宋"/>
          <w:i w:val="0"/>
          <w:iCs w:val="0"/>
          <w:caps w:val="0"/>
          <w:color w:val="484848"/>
          <w:spacing w:val="0"/>
          <w:sz w:val="32"/>
          <w:szCs w:val="32"/>
          <w:u w:val="none"/>
          <w:bdr w:val="none" w:color="auto" w:sz="0" w:space="0"/>
        </w:rPr>
        <w:t>工作，协同配合临床转化应用后再评估工作。</w:t>
      </w:r>
    </w:p>
    <w:p w14:paraId="7D94E7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国</w:t>
      </w:r>
      <w:r>
        <w:rPr>
          <w:rFonts w:hint="eastAsia" w:ascii="仿宋" w:hAnsi="仿宋" w:eastAsia="仿宋" w:cs="仿宋"/>
          <w:i w:val="0"/>
          <w:iCs w:val="0"/>
          <w:caps w:val="0"/>
          <w:color w:val="484848"/>
          <w:spacing w:val="0"/>
          <w:sz w:val="32"/>
          <w:szCs w:val="32"/>
          <w:highlight w:val="cyan"/>
          <w:u w:val="none"/>
          <w:bdr w:val="none" w:color="auto" w:sz="0" w:space="0"/>
        </w:rPr>
        <w:t>家卫生健康委医疗管理服务指导中心（以下简称医管中心）</w:t>
      </w:r>
      <w:r>
        <w:rPr>
          <w:rFonts w:hint="eastAsia" w:ascii="仿宋" w:hAnsi="仿宋" w:eastAsia="仿宋" w:cs="仿宋"/>
          <w:i w:val="0"/>
          <w:iCs w:val="0"/>
          <w:caps w:val="0"/>
          <w:color w:val="484848"/>
          <w:spacing w:val="0"/>
          <w:sz w:val="32"/>
          <w:szCs w:val="32"/>
          <w:u w:val="none"/>
          <w:bdr w:val="none" w:color="auto" w:sz="0" w:space="0"/>
        </w:rPr>
        <w:t>作为专业机构，承担临床转化应用后的</w:t>
      </w:r>
      <w:r>
        <w:rPr>
          <w:rFonts w:hint="eastAsia" w:ascii="仿宋" w:hAnsi="仿宋" w:eastAsia="仿宋" w:cs="仿宋"/>
          <w:i w:val="0"/>
          <w:iCs w:val="0"/>
          <w:caps w:val="0"/>
          <w:color w:val="484848"/>
          <w:spacing w:val="0"/>
          <w:sz w:val="32"/>
          <w:szCs w:val="32"/>
          <w:highlight w:val="cyan"/>
          <w:u w:val="none"/>
          <w:bdr w:val="none" w:color="auto" w:sz="0" w:space="0"/>
        </w:rPr>
        <w:t>再评估工作</w:t>
      </w:r>
      <w:r>
        <w:rPr>
          <w:rFonts w:hint="eastAsia" w:ascii="仿宋" w:hAnsi="仿宋" w:eastAsia="仿宋" w:cs="仿宋"/>
          <w:i w:val="0"/>
          <w:iCs w:val="0"/>
          <w:caps w:val="0"/>
          <w:color w:val="484848"/>
          <w:spacing w:val="0"/>
          <w:sz w:val="32"/>
          <w:szCs w:val="32"/>
          <w:u w:val="none"/>
          <w:bdr w:val="none" w:color="auto" w:sz="0" w:space="0"/>
        </w:rPr>
        <w:t>，协同配合生物医学新技术临床转化应用的机构和人员资质、临床应用操作规范评估工作。</w:t>
      </w:r>
    </w:p>
    <w:p w14:paraId="4C81A1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生物中心与医管中心建立内部协调机制，确保有关评估与再评估工作统筹、协同开展。</w:t>
      </w:r>
    </w:p>
    <w:p w14:paraId="5F6FF4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县级以上卫生健康部门负责本行政区域的生物医学新技术临床转化应用的监督管理工作。</w:t>
      </w:r>
    </w:p>
    <w:p w14:paraId="2C03BB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第五条</w:t>
      </w:r>
      <w:r>
        <w:rPr>
          <w:rFonts w:ascii="微软雅黑" w:hAnsi="微软雅黑" w:eastAsia="微软雅黑" w:cs="微软雅黑"/>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生物医学新技术临床转化应用审批遵循依法合规、公平公正、科学审慎原则，以临床价值为导向，鼓励创新，保证安全，积极推动生物医学新技术造福患者。</w:t>
      </w:r>
    </w:p>
    <w:p w14:paraId="072441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p>
    <w:p w14:paraId="532F13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color w:val="484848"/>
          <w:sz w:val="32"/>
          <w:szCs w:val="32"/>
          <w:highlight w:val="cyan"/>
          <w:u w:val="none"/>
        </w:rPr>
      </w:pPr>
      <w:r>
        <w:rPr>
          <w:rFonts w:hint="eastAsia" w:ascii="黑体" w:hAnsi="宋体" w:eastAsia="黑体" w:cs="黑体"/>
          <w:i w:val="0"/>
          <w:iCs w:val="0"/>
          <w:caps w:val="0"/>
          <w:color w:val="484848"/>
          <w:spacing w:val="0"/>
          <w:sz w:val="32"/>
          <w:szCs w:val="32"/>
          <w:u w:val="none"/>
          <w:bdr w:val="none" w:color="auto" w:sz="0" w:space="0"/>
        </w:rPr>
        <w:t xml:space="preserve">第二章 </w:t>
      </w:r>
      <w:r>
        <w:rPr>
          <w:rFonts w:hint="eastAsia" w:ascii="黑体" w:hAnsi="宋体" w:eastAsia="黑体" w:cs="黑体"/>
          <w:i w:val="0"/>
          <w:iCs w:val="0"/>
          <w:caps w:val="0"/>
          <w:color w:val="484848"/>
          <w:spacing w:val="0"/>
          <w:sz w:val="32"/>
          <w:szCs w:val="32"/>
          <w:highlight w:val="cyan"/>
          <w:u w:val="none"/>
          <w:bdr w:val="none" w:color="auto" w:sz="0" w:space="0"/>
        </w:rPr>
        <w:t>申请与受理</w:t>
      </w:r>
    </w:p>
    <w:p w14:paraId="79068D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第六条</w:t>
      </w:r>
      <w:r>
        <w:rPr>
          <w:rFonts w:hint="eastAsia" w:ascii="仿宋" w:hAnsi="仿宋" w:eastAsia="仿宋" w:cs="仿宋"/>
          <w:i w:val="0"/>
          <w:iCs w:val="0"/>
          <w:caps w:val="0"/>
          <w:color w:val="484848"/>
          <w:spacing w:val="0"/>
          <w:sz w:val="32"/>
          <w:szCs w:val="32"/>
          <w:u w:val="none"/>
          <w:bdr w:val="none" w:color="auto" w:sz="0" w:space="0"/>
        </w:rPr>
        <w:t> 生物医学新技术申请临床转化应用，应当同时具备下列条件：</w:t>
      </w:r>
    </w:p>
    <w:p w14:paraId="11617C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（一）经依法</w:t>
      </w:r>
      <w:r>
        <w:rPr>
          <w:rFonts w:hint="eastAsia" w:ascii="仿宋" w:hAnsi="仿宋" w:eastAsia="仿宋" w:cs="仿宋"/>
          <w:i w:val="0"/>
          <w:iCs w:val="0"/>
          <w:caps w:val="0"/>
          <w:color w:val="484848"/>
          <w:spacing w:val="0"/>
          <w:sz w:val="32"/>
          <w:szCs w:val="32"/>
          <w:highlight w:val="cyan"/>
          <w:u w:val="none"/>
          <w:bdr w:val="none" w:color="auto" w:sz="0" w:space="0"/>
        </w:rPr>
        <w:t>备案并完成生物医学新技术临床研究</w:t>
      </w:r>
      <w:r>
        <w:rPr>
          <w:rFonts w:hint="eastAsia" w:ascii="仿宋" w:hAnsi="仿宋" w:eastAsia="仿宋" w:cs="仿宋"/>
          <w:i w:val="0"/>
          <w:iCs w:val="0"/>
          <w:caps w:val="0"/>
          <w:color w:val="484848"/>
          <w:spacing w:val="0"/>
          <w:sz w:val="32"/>
          <w:szCs w:val="32"/>
          <w:u w:val="none"/>
          <w:bdr w:val="none" w:color="auto" w:sz="0" w:space="0"/>
        </w:rPr>
        <w:t>；</w:t>
      </w:r>
    </w:p>
    <w:p w14:paraId="582D23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（二）生物医学新技术临床研究</w:t>
      </w:r>
      <w:r>
        <w:rPr>
          <w:rFonts w:hint="eastAsia" w:ascii="仿宋" w:hAnsi="仿宋" w:eastAsia="仿宋" w:cs="仿宋"/>
          <w:i w:val="0"/>
          <w:iCs w:val="0"/>
          <w:caps w:val="0"/>
          <w:color w:val="484848"/>
          <w:spacing w:val="0"/>
          <w:sz w:val="32"/>
          <w:szCs w:val="32"/>
          <w:highlight w:val="cyan"/>
          <w:u w:val="none"/>
          <w:bdr w:val="none" w:color="auto" w:sz="0" w:space="0"/>
        </w:rPr>
        <w:t>证明该技术安全、有效，符合伦理原则</w:t>
      </w:r>
      <w:r>
        <w:rPr>
          <w:rFonts w:hint="eastAsia" w:ascii="仿宋" w:hAnsi="仿宋" w:eastAsia="仿宋" w:cs="仿宋"/>
          <w:i w:val="0"/>
          <w:iCs w:val="0"/>
          <w:caps w:val="0"/>
          <w:color w:val="484848"/>
          <w:spacing w:val="0"/>
          <w:sz w:val="32"/>
          <w:szCs w:val="32"/>
          <w:u w:val="none"/>
          <w:bdr w:val="none" w:color="auto" w:sz="0" w:space="0"/>
        </w:rPr>
        <w:t>；</w:t>
      </w:r>
    </w:p>
    <w:p w14:paraId="73F35B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（三）在临床研究阶段，</w:t>
      </w:r>
      <w:r>
        <w:rPr>
          <w:rFonts w:hint="eastAsia" w:ascii="仿宋" w:hAnsi="仿宋" w:eastAsia="仿宋" w:cs="仿宋"/>
          <w:i w:val="0"/>
          <w:iCs w:val="0"/>
          <w:caps w:val="0"/>
          <w:color w:val="484848"/>
          <w:spacing w:val="0"/>
          <w:sz w:val="32"/>
          <w:szCs w:val="32"/>
          <w:highlight w:val="cyan"/>
          <w:u w:val="none"/>
          <w:bdr w:val="none" w:color="auto" w:sz="0" w:space="0"/>
        </w:rPr>
        <w:t>经多中心参与</w:t>
      </w:r>
      <w:r>
        <w:rPr>
          <w:rFonts w:hint="eastAsia" w:ascii="仿宋" w:hAnsi="仿宋" w:eastAsia="仿宋" w:cs="仿宋"/>
          <w:i w:val="0"/>
          <w:iCs w:val="0"/>
          <w:caps w:val="0"/>
          <w:color w:val="484848"/>
          <w:spacing w:val="0"/>
          <w:sz w:val="32"/>
          <w:szCs w:val="32"/>
          <w:u w:val="none"/>
          <w:bdr w:val="none" w:color="auto" w:sz="0" w:space="0"/>
        </w:rPr>
        <w:t>，遵守临床应用操作规范独立实施该技术，获得一致的安全性、有效性结论。</w:t>
      </w:r>
    </w:p>
    <w:p w14:paraId="06286A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第七条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生物医学新技术临床研究结束后，</w:t>
      </w:r>
      <w:r>
        <w:rPr>
          <w:rFonts w:hint="eastAsia" w:ascii="仿宋" w:hAnsi="仿宋" w:eastAsia="仿宋" w:cs="仿宋"/>
          <w:i w:val="0"/>
          <w:iCs w:val="0"/>
          <w:caps w:val="0"/>
          <w:color w:val="484848"/>
          <w:spacing w:val="0"/>
          <w:sz w:val="32"/>
          <w:szCs w:val="32"/>
          <w:highlight w:val="yellow"/>
          <w:u w:val="none"/>
          <w:bdr w:val="none" w:color="auto" w:sz="0" w:space="0"/>
        </w:rPr>
        <w:t>符合本规范第三条规定范围的</w:t>
      </w:r>
      <w:r>
        <w:rPr>
          <w:rFonts w:hint="eastAsia" w:ascii="仿宋" w:hAnsi="仿宋" w:eastAsia="仿宋" w:cs="仿宋"/>
          <w:i w:val="0"/>
          <w:iCs w:val="0"/>
          <w:caps w:val="0"/>
          <w:color w:val="484848"/>
          <w:spacing w:val="0"/>
          <w:sz w:val="32"/>
          <w:szCs w:val="32"/>
          <w:u w:val="none"/>
          <w:bdr w:val="none" w:color="auto" w:sz="0" w:space="0"/>
        </w:rPr>
        <w:t>，可以申请临床转化应用。发起生物医学新技术临床研究的机构（以下简称申请机构）应当向国家卫生健康委提出申请，提交</w:t>
      </w:r>
      <w:r>
        <w:rPr>
          <w:rFonts w:hint="eastAsia" w:ascii="仿宋" w:hAnsi="仿宋" w:eastAsia="仿宋" w:cs="仿宋"/>
          <w:i w:val="0"/>
          <w:iCs w:val="0"/>
          <w:caps w:val="0"/>
          <w:color w:val="484848"/>
          <w:spacing w:val="0"/>
          <w:sz w:val="32"/>
          <w:szCs w:val="32"/>
          <w:highlight w:val="cyan"/>
          <w:u w:val="none"/>
          <w:bdr w:val="none" w:color="auto" w:sz="0" w:space="0"/>
        </w:rPr>
        <w:t>《生物医学新技术临床转化应用申请书》（式样见附件1）及相关资料</w:t>
      </w:r>
      <w:r>
        <w:rPr>
          <w:rFonts w:hint="eastAsia" w:ascii="仿宋" w:hAnsi="仿宋" w:eastAsia="仿宋" w:cs="仿宋"/>
          <w:i w:val="0"/>
          <w:iCs w:val="0"/>
          <w:caps w:val="0"/>
          <w:color w:val="484848"/>
          <w:spacing w:val="0"/>
          <w:sz w:val="32"/>
          <w:szCs w:val="32"/>
          <w:u w:val="none"/>
          <w:bdr w:val="none" w:color="auto" w:sz="0" w:space="0"/>
        </w:rPr>
        <w:t>。</w:t>
      </w:r>
    </w:p>
    <w:p w14:paraId="1F754C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申请机构应当如实提交有关材料，反映真实情况，对申请材料的真实性、准确性、完整性负责，并承担法律责任。</w:t>
      </w:r>
    </w:p>
    <w:p w14:paraId="3B466C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color w:val="484848"/>
          <w:sz w:val="32"/>
          <w:szCs w:val="32"/>
          <w:u w:val="none"/>
        </w:rPr>
      </w:pPr>
      <w:r>
        <w:rPr>
          <w:rFonts w:hint="eastAsia" w:ascii="黑体" w:hAnsi="宋体" w:eastAsia="黑体" w:cs="黑体"/>
          <w:i w:val="0"/>
          <w:iCs w:val="0"/>
          <w:caps w:val="0"/>
          <w:color w:val="484848"/>
          <w:spacing w:val="0"/>
          <w:sz w:val="32"/>
          <w:szCs w:val="32"/>
          <w:u w:val="none"/>
          <w:bdr w:val="none" w:color="auto" w:sz="0" w:space="0"/>
        </w:rPr>
        <w:t>第八条</w:t>
      </w:r>
      <w:r>
        <w:rPr>
          <w:rFonts w:hint="eastAsia" w:ascii="仿宋" w:hAnsi="仿宋" w:eastAsia="仿宋" w:cs="仿宋"/>
          <w:i w:val="0"/>
          <w:iCs w:val="0"/>
          <w:caps w:val="0"/>
          <w:color w:val="484848"/>
          <w:spacing w:val="0"/>
          <w:sz w:val="32"/>
          <w:szCs w:val="32"/>
          <w:u w:val="none"/>
          <w:bdr w:val="none" w:color="auto" w:sz="0" w:space="0"/>
        </w:rPr>
        <w:t> 国家卫生健康委行政审批受理窗口（生物中心办公区）收到生物医学新技术临床转化应用申请后，应当对申请材料进行形式审查（形式审查条件要求见附件2），根据下列情况分别作出处理：</w:t>
      </w:r>
    </w:p>
    <w:p w14:paraId="1DE920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（一）申请事项不属于本部门职权范围或</w:t>
      </w:r>
      <w:r>
        <w:rPr>
          <w:rFonts w:hint="eastAsia" w:ascii="仿宋" w:hAnsi="仿宋" w:eastAsia="仿宋" w:cs="仿宋"/>
          <w:i w:val="0"/>
          <w:iCs w:val="0"/>
          <w:caps w:val="0"/>
          <w:color w:val="484848"/>
          <w:spacing w:val="0"/>
          <w:sz w:val="32"/>
          <w:szCs w:val="32"/>
          <w:highlight w:val="yellow"/>
          <w:u w:val="none"/>
          <w:bdr w:val="none" w:color="auto" w:sz="0" w:space="0"/>
        </w:rPr>
        <w:t>不符合审</w:t>
      </w:r>
      <w:r>
        <w:rPr>
          <w:rFonts w:hint="eastAsia" w:ascii="仿宋" w:hAnsi="仿宋" w:eastAsia="仿宋" w:cs="仿宋"/>
          <w:i w:val="0"/>
          <w:iCs w:val="0"/>
          <w:caps w:val="0"/>
          <w:color w:val="484848"/>
          <w:spacing w:val="0"/>
          <w:sz w:val="32"/>
          <w:szCs w:val="32"/>
          <w:u w:val="none"/>
          <w:bdr w:val="none" w:color="auto" w:sz="0" w:space="0"/>
        </w:rPr>
        <w:t>批范围的，作出不予受理决定，并出具</w:t>
      </w:r>
      <w:r>
        <w:rPr>
          <w:rFonts w:hint="eastAsia" w:ascii="仿宋" w:hAnsi="仿宋" w:eastAsia="仿宋" w:cs="仿宋"/>
          <w:i w:val="0"/>
          <w:iCs w:val="0"/>
          <w:caps w:val="0"/>
          <w:color w:val="484848"/>
          <w:spacing w:val="0"/>
          <w:sz w:val="32"/>
          <w:szCs w:val="32"/>
          <w:highlight w:val="cyan"/>
          <w:u w:val="none"/>
          <w:bdr w:val="none" w:color="auto" w:sz="0" w:space="0"/>
        </w:rPr>
        <w:t>《不予受理通知书》</w:t>
      </w:r>
      <w:r>
        <w:rPr>
          <w:rFonts w:hint="eastAsia" w:ascii="仿宋" w:hAnsi="仿宋" w:eastAsia="仿宋" w:cs="仿宋"/>
          <w:i w:val="0"/>
          <w:iCs w:val="0"/>
          <w:caps w:val="0"/>
          <w:color w:val="484848"/>
          <w:spacing w:val="0"/>
          <w:sz w:val="32"/>
          <w:szCs w:val="32"/>
          <w:u w:val="none"/>
          <w:bdr w:val="none" w:color="auto" w:sz="0" w:space="0"/>
        </w:rPr>
        <w:t>；</w:t>
      </w:r>
    </w:p>
    <w:p w14:paraId="7E7120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（二）申请材料不齐全或不符合规定形式的，应在收到材料后</w:t>
      </w:r>
      <w:r>
        <w:rPr>
          <w:rFonts w:hint="eastAsia" w:ascii="仿宋" w:hAnsi="仿宋" w:eastAsia="仿宋" w:cs="仿宋"/>
          <w:i w:val="0"/>
          <w:iCs w:val="0"/>
          <w:caps w:val="0"/>
          <w:color w:val="484848"/>
          <w:spacing w:val="0"/>
          <w:sz w:val="32"/>
          <w:szCs w:val="32"/>
          <w:highlight w:val="yellow"/>
          <w:u w:val="none"/>
          <w:bdr w:val="none" w:color="auto" w:sz="0" w:space="0"/>
        </w:rPr>
        <w:t>5个工作日内出具《补正材料通知书</w:t>
      </w:r>
      <w:r>
        <w:rPr>
          <w:rFonts w:hint="eastAsia" w:ascii="仿宋" w:hAnsi="仿宋" w:eastAsia="仿宋" w:cs="仿宋"/>
          <w:i w:val="0"/>
          <w:iCs w:val="0"/>
          <w:caps w:val="0"/>
          <w:color w:val="484848"/>
          <w:spacing w:val="0"/>
          <w:sz w:val="32"/>
          <w:szCs w:val="32"/>
          <w:u w:val="none"/>
          <w:bdr w:val="none" w:color="auto" w:sz="0" w:space="0"/>
        </w:rPr>
        <w:t>》，一次性告知申请机构需要补正的全部内容；补正的申请材料仍然不符合有关要求的，可以要求申请机构继续补正；</w:t>
      </w:r>
    </w:p>
    <w:p w14:paraId="03A66D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i w:val="0"/>
          <w:iCs w:val="0"/>
          <w:caps w:val="0"/>
          <w:color w:val="484848"/>
          <w:spacing w:val="0"/>
          <w:sz w:val="32"/>
          <w:szCs w:val="32"/>
          <w:u w:val="none"/>
          <w:bdr w:val="none" w:color="auto" w:sz="0" w:space="0"/>
        </w:rPr>
        <w:t>（三）申请事项属于受理范围且材料齐全、符合规定的，作出受理决定，并出具《受理通知书》。</w:t>
      </w:r>
    </w:p>
    <w:p w14:paraId="536649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color w:val="484848"/>
          <w:sz w:val="32"/>
          <w:szCs w:val="32"/>
          <w:u w:val="none"/>
        </w:rPr>
      </w:pPr>
      <w:r>
        <w:rPr>
          <w:rFonts w:hint="eastAsia" w:ascii="仿宋" w:hAnsi="仿宋" w:eastAsia="仿宋" w:cs="仿宋"/>
          <w:b/>
          <w:bCs/>
          <w:i w:val="0"/>
          <w:iCs w:val="0"/>
          <w:caps w:val="0"/>
          <w:color w:val="484848"/>
          <w:spacing w:val="0"/>
          <w:sz w:val="32"/>
          <w:szCs w:val="32"/>
          <w:u w:val="none"/>
          <w:bdr w:val="none" w:color="auto" w:sz="0" w:space="0"/>
        </w:rPr>
        <w:t> </w:t>
      </w:r>
    </w:p>
    <w:p w14:paraId="45289E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hint="eastAsia" w:ascii="微软雅黑" w:hAnsi="微软雅黑" w:eastAsia="微软雅黑" w:cs="微软雅黑"/>
          <w:i w:val="0"/>
          <w:iCs w:val="0"/>
          <w:caps w:val="0"/>
          <w:color w:val="484848"/>
          <w:spacing w:val="0"/>
          <w:sz w:val="32"/>
          <w:szCs w:val="32"/>
          <w:highlight w:val="cyan"/>
          <w:u w:val="none"/>
        </w:rPr>
      </w:pPr>
      <w:r>
        <w:rPr>
          <w:rFonts w:hint="eastAsia" w:ascii="黑体" w:hAnsi="宋体" w:eastAsia="黑体" w:cs="黑体"/>
          <w:i w:val="0"/>
          <w:iCs w:val="0"/>
          <w:caps w:val="0"/>
          <w:color w:val="484848"/>
          <w:spacing w:val="0"/>
          <w:sz w:val="32"/>
          <w:szCs w:val="32"/>
          <w:highlight w:val="cyan"/>
          <w:u w:val="none"/>
          <w:bdr w:val="none" w:color="auto" w:sz="0" w:space="0"/>
        </w:rPr>
        <w:t>第三章 审查与决定</w:t>
      </w:r>
    </w:p>
    <w:p w14:paraId="6558E1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第九条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生物医学新技术临床转化应用审查实行专家评估与部门审核相结合的方式。</w:t>
      </w:r>
    </w:p>
    <w:p w14:paraId="690506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第十条</w:t>
      </w:r>
      <w:r>
        <w:rPr>
          <w:rFonts w:hint="eastAsia" w:ascii="仿宋" w:hAnsi="仿宋" w:eastAsia="仿宋" w:cs="仿宋"/>
          <w:i w:val="0"/>
          <w:iCs w:val="0"/>
          <w:caps w:val="0"/>
          <w:color w:val="484848"/>
          <w:spacing w:val="0"/>
          <w:sz w:val="32"/>
          <w:szCs w:val="32"/>
          <w:u w:val="none"/>
          <w:bdr w:val="none" w:color="auto" w:sz="0" w:space="0"/>
        </w:rPr>
        <w:t> 国家卫生健康委自受理申请之日起</w:t>
      </w:r>
      <w:r>
        <w:rPr>
          <w:rFonts w:hint="eastAsia" w:ascii="仿宋" w:hAnsi="仿宋" w:eastAsia="仿宋" w:cs="仿宋"/>
          <w:i w:val="0"/>
          <w:iCs w:val="0"/>
          <w:caps w:val="0"/>
          <w:color w:val="484848"/>
          <w:spacing w:val="0"/>
          <w:sz w:val="32"/>
          <w:szCs w:val="32"/>
          <w:highlight w:val="cyan"/>
          <w:u w:val="none"/>
          <w:bdr w:val="none" w:color="auto" w:sz="0" w:space="0"/>
        </w:rPr>
        <w:t>5个工作日内将申请材料转交生物中心进行评估</w:t>
      </w:r>
      <w:r>
        <w:rPr>
          <w:rFonts w:hint="eastAsia" w:ascii="仿宋" w:hAnsi="仿宋" w:eastAsia="仿宋" w:cs="仿宋"/>
          <w:i w:val="0"/>
          <w:iCs w:val="0"/>
          <w:caps w:val="0"/>
          <w:color w:val="484848"/>
          <w:spacing w:val="0"/>
          <w:sz w:val="32"/>
          <w:szCs w:val="32"/>
          <w:u w:val="none"/>
          <w:bdr w:val="none" w:color="auto" w:sz="0" w:space="0"/>
        </w:rPr>
        <w:t>。</w:t>
      </w:r>
    </w:p>
    <w:p w14:paraId="0F9B31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生物中心收到申请材料后，应当会同</w:t>
      </w:r>
      <w:r>
        <w:rPr>
          <w:rFonts w:hint="eastAsia" w:ascii="仿宋" w:hAnsi="仿宋" w:eastAsia="仿宋" w:cs="仿宋"/>
          <w:i w:val="0"/>
          <w:iCs w:val="0"/>
          <w:caps w:val="0"/>
          <w:color w:val="484848"/>
          <w:spacing w:val="0"/>
          <w:sz w:val="32"/>
          <w:szCs w:val="32"/>
          <w:highlight w:val="cyan"/>
          <w:u w:val="none"/>
          <w:bdr w:val="none" w:color="auto" w:sz="0" w:space="0"/>
        </w:rPr>
        <w:t>医管中心从生物医学新技术临床研究和临床转化应用专家库中选取专家</w:t>
      </w:r>
      <w:r>
        <w:rPr>
          <w:rFonts w:hint="eastAsia" w:ascii="仿宋" w:hAnsi="仿宋" w:eastAsia="仿宋" w:cs="仿宋"/>
          <w:i w:val="0"/>
          <w:iCs w:val="0"/>
          <w:caps w:val="0"/>
          <w:color w:val="484848"/>
          <w:spacing w:val="0"/>
          <w:sz w:val="32"/>
          <w:szCs w:val="32"/>
          <w:u w:val="none"/>
          <w:bdr w:val="none" w:color="auto" w:sz="0" w:space="0"/>
        </w:rPr>
        <w:t>，组织开展材料核查、技术评估和伦理评估，提出评估意见，报国家卫生健康委。必要时，可以邀请专家库之外的专家参加评估。</w:t>
      </w:r>
    </w:p>
    <w:p w14:paraId="68AC48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第十一条</w:t>
      </w:r>
      <w:r>
        <w:rPr>
          <w:rFonts w:hint="eastAsia" w:ascii="仿宋" w:hAnsi="仿宋" w:eastAsia="仿宋" w:cs="仿宋"/>
          <w:i w:val="0"/>
          <w:iCs w:val="0"/>
          <w:caps w:val="0"/>
          <w:color w:val="484848"/>
          <w:spacing w:val="0"/>
          <w:sz w:val="32"/>
          <w:szCs w:val="32"/>
          <w:u w:val="none"/>
          <w:bdr w:val="none" w:color="auto" w:sz="0" w:space="0"/>
        </w:rPr>
        <w:t> 生物中心会同医管中心组织专家对申请材料的真实性、准确性和完整性进行核查，并按照</w:t>
      </w:r>
      <w:r>
        <w:rPr>
          <w:rFonts w:hint="eastAsia" w:ascii="仿宋" w:hAnsi="仿宋" w:eastAsia="仿宋" w:cs="仿宋"/>
          <w:i w:val="0"/>
          <w:iCs w:val="0"/>
          <w:caps w:val="0"/>
          <w:color w:val="484848"/>
          <w:spacing w:val="0"/>
          <w:sz w:val="32"/>
          <w:szCs w:val="32"/>
          <w:highlight w:val="yellow"/>
          <w:u w:val="none"/>
          <w:bdr w:val="none" w:color="auto" w:sz="0" w:space="0"/>
        </w:rPr>
        <w:t>《生物医学新技术风险分级指南》</w:t>
      </w:r>
      <w:r>
        <w:rPr>
          <w:rFonts w:hint="eastAsia" w:ascii="仿宋" w:hAnsi="仿宋" w:eastAsia="仿宋" w:cs="仿宋"/>
          <w:i w:val="0"/>
          <w:iCs w:val="0"/>
          <w:caps w:val="0"/>
          <w:color w:val="484848"/>
          <w:spacing w:val="0"/>
          <w:sz w:val="32"/>
          <w:szCs w:val="32"/>
          <w:u w:val="none"/>
          <w:bdr w:val="none" w:color="auto" w:sz="0" w:space="0"/>
        </w:rPr>
        <w:t>划定技术的风险等级。核查包括但不限于书面核查及现场核查等方式。</w:t>
      </w:r>
    </w:p>
    <w:p w14:paraId="04F5CF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核查过程中需要补充资料的，应当及时书面告知申请机构，申请机构应当按照要求及时补充有关资料。</w:t>
      </w:r>
    </w:p>
    <w:p w14:paraId="76AD69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根据核查工作需要，可以要求申请机构、临床研究机构及其他相关机构人员现场解答有关技术问题，申请机构、临床研究机构及其他相关机构应当予以配合。</w:t>
      </w:r>
    </w:p>
    <w:p w14:paraId="4124AE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核查发现材料存在错误、缺漏或者存在重大问题、申请机构主动撤回等情形的，生物中心可作出“延期再审”或“终止审查”的评估意见。</w:t>
      </w:r>
    </w:p>
    <w:p w14:paraId="479A29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《生物医学新技术风险分级指南》由生物中心会同医管中心另行制定。</w:t>
      </w:r>
    </w:p>
    <w:p w14:paraId="7BD338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第十二条</w:t>
      </w:r>
      <w:r>
        <w:rPr>
          <w:rFonts w:hint="eastAsia" w:ascii="仿宋" w:hAnsi="仿宋" w:eastAsia="仿宋" w:cs="仿宋"/>
          <w:i w:val="0"/>
          <w:iCs w:val="0"/>
          <w:caps w:val="0"/>
          <w:color w:val="484848"/>
          <w:spacing w:val="0"/>
          <w:sz w:val="32"/>
          <w:szCs w:val="32"/>
          <w:u w:val="none"/>
          <w:bdr w:val="none" w:color="auto" w:sz="0" w:space="0"/>
        </w:rPr>
        <w:t> 申请材料通过材料核查的，生物中心会同医管中心组织专家通过</w:t>
      </w:r>
      <w:r>
        <w:rPr>
          <w:rFonts w:hint="eastAsia" w:ascii="仿宋" w:hAnsi="仿宋" w:eastAsia="仿宋" w:cs="仿宋"/>
          <w:i w:val="0"/>
          <w:iCs w:val="0"/>
          <w:caps w:val="0"/>
          <w:color w:val="484848"/>
          <w:spacing w:val="0"/>
          <w:sz w:val="32"/>
          <w:szCs w:val="32"/>
          <w:highlight w:val="cyan"/>
          <w:u w:val="none"/>
          <w:bdr w:val="none" w:color="auto" w:sz="0" w:space="0"/>
        </w:rPr>
        <w:t>网络函审、会议评估、现场评估</w:t>
      </w:r>
      <w:r>
        <w:rPr>
          <w:rFonts w:hint="eastAsia" w:ascii="仿宋" w:hAnsi="仿宋" w:eastAsia="仿宋" w:cs="仿宋"/>
          <w:i w:val="0"/>
          <w:iCs w:val="0"/>
          <w:caps w:val="0"/>
          <w:color w:val="484848"/>
          <w:spacing w:val="0"/>
          <w:sz w:val="32"/>
          <w:szCs w:val="32"/>
          <w:u w:val="none"/>
          <w:bdr w:val="none" w:color="auto" w:sz="0" w:space="0"/>
        </w:rPr>
        <w:t>等方式进行技术评估和伦理评估。技术评估重点对拟转化技术的</w:t>
      </w:r>
      <w:r>
        <w:rPr>
          <w:rFonts w:hint="eastAsia" w:ascii="仿宋" w:hAnsi="仿宋" w:eastAsia="仿宋" w:cs="仿宋"/>
          <w:i w:val="0"/>
          <w:iCs w:val="0"/>
          <w:caps w:val="0"/>
          <w:color w:val="484848"/>
          <w:spacing w:val="0"/>
          <w:sz w:val="32"/>
          <w:szCs w:val="32"/>
          <w:highlight w:val="cyan"/>
          <w:u w:val="none"/>
          <w:bdr w:val="none" w:color="auto" w:sz="0" w:space="0"/>
        </w:rPr>
        <w:t>成熟度、安全性、有效性、</w:t>
      </w:r>
      <w:r>
        <w:rPr>
          <w:rFonts w:hint="eastAsia" w:ascii="仿宋" w:hAnsi="仿宋" w:eastAsia="仿宋" w:cs="仿宋"/>
          <w:i w:val="0"/>
          <w:iCs w:val="0"/>
          <w:caps w:val="0"/>
          <w:color w:val="484848"/>
          <w:spacing w:val="0"/>
          <w:sz w:val="32"/>
          <w:szCs w:val="32"/>
          <w:u w:val="none"/>
          <w:bdr w:val="none" w:color="auto" w:sz="0" w:space="0"/>
        </w:rPr>
        <w:t>应用该技术的医疗机构和卫生专业技术人员需要具备的条件、临床应用操作规范、质量控制标准以及风险防控措施等进行评估。伦理评估重点对技术的伦理合规性、权益保护、社会伦理与公共安全等进行评估。对技术风险等级高或者存在重大争议的新技术，以及专家评估认为有必要的，生物中心、医管中心可组织专家开展现场评估。</w:t>
      </w:r>
    </w:p>
    <w:p w14:paraId="14099A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开展核查评估期间，生物中心发现不属于生物医学新技术临床转化应用审批范围的，应当作出“终止审查”的评估意见。</w:t>
      </w:r>
    </w:p>
    <w:p w14:paraId="4C556B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第十三条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根据材料核查、技术评估和伦理评估情况，生物中心组织专家提出“</w:t>
      </w:r>
      <w:r>
        <w:rPr>
          <w:rFonts w:hint="eastAsia" w:ascii="仿宋" w:hAnsi="仿宋" w:eastAsia="仿宋" w:cs="仿宋"/>
          <w:i w:val="0"/>
          <w:iCs w:val="0"/>
          <w:caps w:val="0"/>
          <w:color w:val="484848"/>
          <w:spacing w:val="0"/>
          <w:sz w:val="32"/>
          <w:szCs w:val="32"/>
          <w:highlight w:val="cyan"/>
          <w:u w:val="none"/>
          <w:bdr w:val="none" w:color="auto" w:sz="0" w:space="0"/>
        </w:rPr>
        <w:t>建议批准”“建议不予批准”“延期再审”“终止审查”等</w:t>
      </w:r>
      <w:r>
        <w:rPr>
          <w:rFonts w:hint="eastAsia" w:ascii="仿宋" w:hAnsi="仿宋" w:eastAsia="仿宋" w:cs="仿宋"/>
          <w:i w:val="0"/>
          <w:iCs w:val="0"/>
          <w:caps w:val="0"/>
          <w:color w:val="484848"/>
          <w:spacing w:val="0"/>
          <w:sz w:val="32"/>
          <w:szCs w:val="32"/>
          <w:u w:val="none"/>
          <w:bdr w:val="none" w:color="auto" w:sz="0" w:space="0"/>
        </w:rPr>
        <w:t>评估意见，并撰写评估报告。</w:t>
      </w:r>
    </w:p>
    <w:p w14:paraId="41517E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多中心临床研究证明该技术安全有效、成熟稳定，且符合伦理原则，应当提出“建议批准”评估意见。</w:t>
      </w:r>
    </w:p>
    <w:p w14:paraId="161878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有下列情形之一的，可</w:t>
      </w:r>
      <w:r>
        <w:rPr>
          <w:rFonts w:hint="eastAsia" w:ascii="仿宋" w:hAnsi="仿宋" w:eastAsia="仿宋" w:cs="仿宋"/>
          <w:i w:val="0"/>
          <w:iCs w:val="0"/>
          <w:caps w:val="0"/>
          <w:color w:val="484848"/>
          <w:spacing w:val="0"/>
          <w:sz w:val="32"/>
          <w:szCs w:val="32"/>
          <w:highlight w:val="cyan"/>
          <w:u w:val="none"/>
          <w:bdr w:val="none" w:color="auto" w:sz="0" w:space="0"/>
        </w:rPr>
        <w:t>以提出“建议不予批准”评估意见。</w:t>
      </w:r>
    </w:p>
    <w:p w14:paraId="700918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（一）申报资料显示技术明显尚未成熟或存在较大技术缺陷的；</w:t>
      </w:r>
    </w:p>
    <w:p w14:paraId="10E2FF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（二）申报资料不能证明技术的安全性、有效性、质量可控性确切，或者经评估认为实施该技术的临床必要性不足、风险大于获益的；</w:t>
      </w:r>
    </w:p>
    <w:p w14:paraId="29879E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（三）其他符合条件的医疗机构和卫生专业技术人员，遵守临床应用操作规范实施，无法取得一致的安全性、有效性结论的；</w:t>
      </w:r>
    </w:p>
    <w:p w14:paraId="7B651C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（四）存在不可接受的社会伦理、公共安全、社会稳定风险，或者缺乏权益保护、可行的风险控制机制和对特殊/脆弱人群的保护措施的；</w:t>
      </w:r>
    </w:p>
    <w:p w14:paraId="55B50D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（五）申请机构未按要求补充资料的；</w:t>
      </w:r>
    </w:p>
    <w:p w14:paraId="02D628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（六）申请机构拒绝接受或者无正当理由不配合材料核查检验的；</w:t>
      </w:r>
    </w:p>
    <w:p w14:paraId="26E61C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（七）材料核查、技术和伦理评估过程中认为申报资料不真实，申请机构不足以支撑其真实性的；</w:t>
      </w:r>
    </w:p>
    <w:p w14:paraId="34874D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（八）法律法规规定的不应当批准的其他情形。</w:t>
      </w:r>
    </w:p>
    <w:p w14:paraId="268B5C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第十四条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对于“建议批准”的生物医学新技术，由生物中心撰写技术解读材料，随评估报告、技术风险等级、应用该技术的医疗机构和卫生专业技术人员需要具备的条件、临床应用操作规范一同上报国家卫生健康委。</w:t>
      </w:r>
    </w:p>
    <w:p w14:paraId="098B78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第十五条</w:t>
      </w:r>
      <w:r>
        <w:rPr>
          <w:rFonts w:hint="eastAsia" w:ascii="仿宋" w:hAnsi="仿宋" w:eastAsia="仿宋" w:cs="仿宋"/>
          <w:i w:val="0"/>
          <w:iCs w:val="0"/>
          <w:caps w:val="0"/>
          <w:color w:val="484848"/>
          <w:spacing w:val="0"/>
          <w:sz w:val="32"/>
          <w:szCs w:val="32"/>
          <w:u w:val="none"/>
          <w:bdr w:val="none" w:color="auto" w:sz="0" w:space="0"/>
        </w:rPr>
        <w:t> 对于“建议不予批准”或“终止审查”的技术，告知申请机构并说明理由。申请机构可以在被告知后5个工作日内，基于已提交的申报材料提出异议，生物中心结合申请机构的异议意见进行评估并反馈申请机构。</w:t>
      </w:r>
    </w:p>
    <w:p w14:paraId="04582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申请机构对评估结果仍有异议的，生物中心应当组织专家论证，并综合专家论证结果形成最终评估意见并报国家卫生健康委。</w:t>
      </w:r>
    </w:p>
    <w:p w14:paraId="2631FF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第十六条</w:t>
      </w:r>
      <w:r>
        <w:rPr>
          <w:rFonts w:hint="eastAsia" w:ascii="仿宋" w:hAnsi="仿宋" w:eastAsia="仿宋" w:cs="仿宋"/>
          <w:i w:val="0"/>
          <w:iCs w:val="0"/>
          <w:caps w:val="0"/>
          <w:color w:val="484848"/>
          <w:spacing w:val="0"/>
          <w:sz w:val="32"/>
          <w:szCs w:val="32"/>
          <w:u w:val="none"/>
          <w:bdr w:val="none" w:color="auto" w:sz="0" w:space="0"/>
        </w:rPr>
        <w:t> 建议“延期再审”的生物医学新技术，应当通知申请机构，一次性告知补充材料内容及时限。申请机构按要求提交补充材料后，生物中心再次组织评估。</w:t>
      </w:r>
    </w:p>
    <w:p w14:paraId="3D8645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第十七条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国家卫生健康委自收到生物中心报送的评估意见之日起15个工作日内，作出是否批准的决定。期间，国家卫生健康委可以组织有关部门进行审核。</w:t>
      </w:r>
    </w:p>
    <w:p w14:paraId="6CB290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highlight w:val="cyan"/>
          <w:u w:val="none"/>
          <w:bdr w:val="none" w:color="auto" w:sz="0" w:space="0"/>
        </w:rPr>
        <w:t>决定“批准”的</w:t>
      </w:r>
      <w:r>
        <w:rPr>
          <w:rFonts w:hint="eastAsia" w:ascii="仿宋" w:hAnsi="仿宋" w:eastAsia="仿宋" w:cs="仿宋"/>
          <w:i w:val="0"/>
          <w:iCs w:val="0"/>
          <w:caps w:val="0"/>
          <w:color w:val="484848"/>
          <w:spacing w:val="0"/>
          <w:sz w:val="32"/>
          <w:szCs w:val="32"/>
          <w:u w:val="none"/>
          <w:bdr w:val="none" w:color="auto" w:sz="0" w:space="0"/>
        </w:rPr>
        <w:t>生物医学新技术，由国家卫生健康委在官方网站及时发布公告，公布批准的技术名称、风险等级、应用该技术的医疗机构和卫生专业技术人员应当具备的条件以及临床应用操作规范，制作《批准通知书》送达申请机构。</w:t>
      </w:r>
    </w:p>
    <w:p w14:paraId="219D1D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决定“不予批准”或“终止审查”的技术，制作《不予行政许可决定书》或《终止审查通知书》，说明理由并告知申请机构依法申请行政复议或提起行政诉讼的权利和期限，送达申请机构。</w:t>
      </w:r>
    </w:p>
    <w:p w14:paraId="4E3BC5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第十八条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用于治疗严重危及生命且尚无有效治疗手段的疾病以及公共卫生方面急需的生物医学新技术，申请机构可在提出临床转化应用申请时，提</w:t>
      </w:r>
      <w:r>
        <w:rPr>
          <w:rFonts w:hint="eastAsia" w:ascii="仿宋" w:hAnsi="仿宋" w:eastAsia="仿宋" w:cs="仿宋"/>
          <w:i w:val="0"/>
          <w:iCs w:val="0"/>
          <w:caps w:val="0"/>
          <w:color w:val="484848"/>
          <w:spacing w:val="0"/>
          <w:sz w:val="32"/>
          <w:szCs w:val="32"/>
          <w:highlight w:val="cyan"/>
          <w:u w:val="none"/>
          <w:bdr w:val="none" w:color="auto" w:sz="0" w:space="0"/>
        </w:rPr>
        <w:t>交优先审查审批申请表</w:t>
      </w:r>
      <w:r>
        <w:rPr>
          <w:rFonts w:hint="eastAsia" w:ascii="仿宋" w:hAnsi="仿宋" w:eastAsia="仿宋" w:cs="仿宋"/>
          <w:i w:val="0"/>
          <w:iCs w:val="0"/>
          <w:caps w:val="0"/>
          <w:color w:val="484848"/>
          <w:spacing w:val="0"/>
          <w:sz w:val="32"/>
          <w:szCs w:val="32"/>
          <w:u w:val="none"/>
          <w:bdr w:val="none" w:color="auto" w:sz="0" w:space="0"/>
        </w:rPr>
        <w:t>（见附件3）。</w:t>
      </w:r>
    </w:p>
    <w:p w14:paraId="35B088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纳入优先审查审批范围的新技术，启动优先评估程序。</w:t>
      </w:r>
    </w:p>
    <w:p w14:paraId="5E8010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核查评估过程中，发现纳入优先评估程序的新技术转化应用申请不能满足优先审查审批条件的，应当终止优先评估程序，按照正常程序进行评估，并告知申请机构。</w:t>
      </w:r>
    </w:p>
    <w:p w14:paraId="3F6B29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第十九条</w:t>
      </w:r>
      <w:r>
        <w:rPr>
          <w:rFonts w:hint="eastAsia" w:ascii="仿宋" w:hAnsi="仿宋" w:eastAsia="仿宋" w:cs="仿宋"/>
          <w:i w:val="0"/>
          <w:iCs w:val="0"/>
          <w:caps w:val="0"/>
          <w:color w:val="484848"/>
          <w:spacing w:val="0"/>
          <w:sz w:val="32"/>
          <w:szCs w:val="32"/>
          <w:u w:val="none"/>
          <w:bdr w:val="none" w:color="auto" w:sz="0" w:space="0"/>
        </w:rPr>
        <w:t> 为应对特别重大突发公共卫生事件或者其他严重威胁公众健康的紧急事件，国家卫生健康委经组织论证确有必要的，可以同意在一定范围和期限内紧急应用正在开展临床研究的生物医学新技术。具体规定另行制定。</w:t>
      </w:r>
    </w:p>
    <w:p w14:paraId="66C211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p>
    <w:p w14:paraId="6F5AA7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hint="eastAsia" w:ascii="微软雅黑" w:hAnsi="微软雅黑" w:eastAsia="微软雅黑" w:cs="微软雅黑"/>
          <w:i w:val="0"/>
          <w:iCs w:val="0"/>
          <w:caps w:val="0"/>
          <w:color w:val="484848"/>
          <w:spacing w:val="0"/>
          <w:sz w:val="32"/>
          <w:szCs w:val="32"/>
          <w:highlight w:val="cyan"/>
          <w:u w:val="none"/>
        </w:rPr>
      </w:pPr>
      <w:r>
        <w:rPr>
          <w:rFonts w:hint="eastAsia" w:ascii="黑体" w:hAnsi="宋体" w:eastAsia="黑体" w:cs="黑体"/>
          <w:i w:val="0"/>
          <w:iCs w:val="0"/>
          <w:caps w:val="0"/>
          <w:color w:val="484848"/>
          <w:spacing w:val="0"/>
          <w:sz w:val="32"/>
          <w:szCs w:val="32"/>
          <w:u w:val="none"/>
          <w:bdr w:val="none" w:color="auto" w:sz="0" w:space="0"/>
        </w:rPr>
        <w:t>第四章 </w:t>
      </w:r>
      <w:r>
        <w:rPr>
          <w:rFonts w:hint="eastAsia" w:ascii="黑体" w:hAnsi="宋体" w:eastAsia="黑体" w:cs="黑体"/>
          <w:i w:val="0"/>
          <w:iCs w:val="0"/>
          <w:caps w:val="0"/>
          <w:color w:val="484848"/>
          <w:spacing w:val="0"/>
          <w:sz w:val="32"/>
          <w:szCs w:val="32"/>
          <w:highlight w:val="cyan"/>
          <w:u w:val="none"/>
          <w:bdr w:val="none" w:color="auto" w:sz="0" w:space="0"/>
        </w:rPr>
        <w:t>临床应用管理</w:t>
      </w:r>
    </w:p>
    <w:p w14:paraId="7885C6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第二十条 </w:t>
      </w:r>
      <w:r>
        <w:rPr>
          <w:rFonts w:hint="eastAsia" w:ascii="仿宋" w:hAnsi="仿宋" w:eastAsia="仿宋" w:cs="仿宋"/>
          <w:i w:val="0"/>
          <w:iCs w:val="0"/>
          <w:caps w:val="0"/>
          <w:color w:val="484848"/>
          <w:spacing w:val="0"/>
          <w:sz w:val="32"/>
          <w:szCs w:val="32"/>
          <w:u w:val="none"/>
          <w:bdr w:val="none" w:color="auto" w:sz="0" w:space="0"/>
        </w:rPr>
        <w:t>经批准临床转化应用的生物医学新技术，临床应用涉及的生物样本采集、制备、质控、保存、实施等全过程，应当在符合条件的医疗机构，由符合条件的卫生专业技术人员按照有关规定，遵守临床应用操作规范开展。</w:t>
      </w:r>
    </w:p>
    <w:p w14:paraId="7E962D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其中，</w:t>
      </w:r>
      <w:r>
        <w:rPr>
          <w:rFonts w:hint="eastAsia" w:ascii="仿宋" w:hAnsi="仿宋" w:eastAsia="仿宋" w:cs="仿宋"/>
          <w:i w:val="0"/>
          <w:iCs w:val="0"/>
          <w:caps w:val="0"/>
          <w:color w:val="484848"/>
          <w:spacing w:val="0"/>
          <w:sz w:val="32"/>
          <w:szCs w:val="32"/>
          <w:highlight w:val="cyan"/>
          <w:u w:val="none"/>
          <w:bdr w:val="none" w:color="auto" w:sz="0" w:space="0"/>
        </w:rPr>
        <w:t>高</w:t>
      </w:r>
      <w:r>
        <w:rPr>
          <w:rFonts w:hint="eastAsia" w:ascii="仿宋" w:hAnsi="仿宋" w:eastAsia="仿宋" w:cs="仿宋"/>
          <w:i w:val="0"/>
          <w:iCs w:val="0"/>
          <w:caps w:val="0"/>
          <w:color w:val="484848"/>
          <w:spacing w:val="0"/>
          <w:sz w:val="32"/>
          <w:szCs w:val="32"/>
          <w:highlight w:val="cyan"/>
          <w:u w:val="none"/>
          <w:bdr w:val="none" w:color="auto" w:sz="0" w:space="0"/>
        </w:rPr>
        <w:t>风险技术批准后5年内、中风险技术批准后3年内、低风险技术批准后1年内仅限在参与该技术临床研究且符合条件的医疗机构内开展临床应用</w:t>
      </w:r>
      <w:r>
        <w:rPr>
          <w:rFonts w:hint="eastAsia" w:ascii="仿宋" w:hAnsi="仿宋" w:eastAsia="仿宋" w:cs="仿宋"/>
          <w:i w:val="0"/>
          <w:iCs w:val="0"/>
          <w:caps w:val="0"/>
          <w:color w:val="484848"/>
          <w:spacing w:val="0"/>
          <w:sz w:val="32"/>
          <w:szCs w:val="32"/>
          <w:u w:val="none"/>
          <w:bdr w:val="none" w:color="auto" w:sz="0" w:space="0"/>
        </w:rPr>
        <w:t>。期满未出现本规范第二十三条第一款情形，或者再评估证实获益远大于风险的，其他符合条件的医疗机构方可开展临床应用，参照限制类医疗技术进行备案。</w:t>
      </w:r>
    </w:p>
    <w:p w14:paraId="2C7447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任何机构和个人不得将未经批准临床转化应用的生物医学新技术应用于临床。</w:t>
      </w:r>
    </w:p>
    <w:p w14:paraId="1B434C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第二十一条</w:t>
      </w:r>
      <w:r>
        <w:rPr>
          <w:rFonts w:hint="eastAsia" w:ascii="微软雅黑" w:hAnsi="微软雅黑" w:eastAsia="微软雅黑" w:cs="微软雅黑"/>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医疗机构承担生物医学新技术临床应用管理主体责任，</w:t>
      </w:r>
      <w:r>
        <w:rPr>
          <w:rFonts w:hint="eastAsia" w:ascii="仿宋" w:hAnsi="仿宋" w:eastAsia="仿宋" w:cs="仿宋"/>
          <w:i w:val="0"/>
          <w:iCs w:val="0"/>
          <w:caps w:val="0"/>
          <w:color w:val="484848"/>
          <w:spacing w:val="0"/>
          <w:sz w:val="32"/>
          <w:szCs w:val="32"/>
          <w:highlight w:val="cyan"/>
          <w:u w:val="none"/>
          <w:bdr w:val="none" w:color="auto" w:sz="0" w:space="0"/>
        </w:rPr>
        <w:t>应当建立生物医学新技术临床应用全流程管理制度</w:t>
      </w:r>
      <w:r>
        <w:rPr>
          <w:rFonts w:hint="eastAsia" w:ascii="仿宋" w:hAnsi="仿宋" w:eastAsia="仿宋" w:cs="仿宋"/>
          <w:i w:val="0"/>
          <w:iCs w:val="0"/>
          <w:caps w:val="0"/>
          <w:color w:val="484848"/>
          <w:spacing w:val="0"/>
          <w:sz w:val="32"/>
          <w:szCs w:val="32"/>
          <w:u w:val="none"/>
          <w:bdr w:val="none" w:color="auto" w:sz="0" w:space="0"/>
        </w:rPr>
        <w:t>。加强生物医学新技术质控工作，根据卫生专业技术人员业务能力和技术水平等，授予、调整或取消相应技术应用权限。</w:t>
      </w:r>
    </w:p>
    <w:p w14:paraId="3988B6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医疗机构开展生物医学新技术临床应用必须保障患者或其监护人的知情权，签署知情同意书。</w:t>
      </w:r>
    </w:p>
    <w:p w14:paraId="0C3640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医疗机构应当制定生物医学新技术临床应用风险预防控制措施、应急处置预案及病例随访相关制度。</w:t>
      </w:r>
    </w:p>
    <w:p w14:paraId="24A209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第二十二条</w:t>
      </w:r>
      <w:r>
        <w:rPr>
          <w:rFonts w:hint="eastAsia" w:ascii="仿宋" w:hAnsi="仿宋" w:eastAsia="仿宋" w:cs="仿宋"/>
          <w:i w:val="0"/>
          <w:iCs w:val="0"/>
          <w:caps w:val="0"/>
          <w:color w:val="484848"/>
          <w:spacing w:val="0"/>
          <w:sz w:val="32"/>
          <w:szCs w:val="32"/>
          <w:u w:val="none"/>
          <w:bdr w:val="none" w:color="auto" w:sz="0" w:space="0"/>
        </w:rPr>
        <w:t> 医疗机构开展生物医学新技术临床应用，应当向所在地省级卫生健康部门逐例报送该技术的临床应用情况。临床应用过程中发生严重不良反应或者医疗事故的，医疗机构应当按照规定进行处理，并第一时间向所在地省级卫生健康部门报告。</w:t>
      </w:r>
    </w:p>
    <w:p w14:paraId="2E5174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前款所称报告，应当通过生物医学新技术临床研究和临床转化信息系统进行。</w:t>
      </w:r>
    </w:p>
    <w:p w14:paraId="554FE2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第二十三条</w:t>
      </w:r>
      <w:r>
        <w:rPr>
          <w:rFonts w:hint="eastAsia" w:ascii="仿宋" w:hAnsi="仿宋" w:eastAsia="仿宋" w:cs="仿宋"/>
          <w:i w:val="0"/>
          <w:iCs w:val="0"/>
          <w:caps w:val="0"/>
          <w:color w:val="484848"/>
          <w:spacing w:val="0"/>
          <w:sz w:val="32"/>
          <w:szCs w:val="32"/>
          <w:u w:val="none"/>
          <w:bdr w:val="none" w:color="auto" w:sz="0" w:space="0"/>
        </w:rPr>
        <w:t> 经批准临床转化应用的生物医学新技术有下列情形之一的，国家卫生健康委将对其安全性、有效性组织再评估，</w:t>
      </w:r>
      <w:r>
        <w:rPr>
          <w:rFonts w:hint="eastAsia" w:ascii="仿宋" w:hAnsi="仿宋" w:eastAsia="仿宋" w:cs="仿宋"/>
          <w:i w:val="0"/>
          <w:iCs w:val="0"/>
          <w:caps w:val="0"/>
          <w:color w:val="484848"/>
          <w:spacing w:val="0"/>
          <w:sz w:val="32"/>
          <w:szCs w:val="32"/>
          <w:highlight w:val="cyan"/>
          <w:u w:val="none"/>
          <w:bdr w:val="none" w:color="auto" w:sz="0" w:space="0"/>
        </w:rPr>
        <w:t>再评估期间暂停应用该技术</w:t>
      </w:r>
      <w:r>
        <w:rPr>
          <w:rFonts w:hint="eastAsia" w:ascii="仿宋" w:hAnsi="仿宋" w:eastAsia="仿宋" w:cs="仿宋"/>
          <w:i w:val="0"/>
          <w:iCs w:val="0"/>
          <w:caps w:val="0"/>
          <w:color w:val="484848"/>
          <w:spacing w:val="0"/>
          <w:sz w:val="32"/>
          <w:szCs w:val="32"/>
          <w:u w:val="none"/>
          <w:bdr w:val="none" w:color="auto" w:sz="0" w:space="0"/>
        </w:rPr>
        <w:t>：</w:t>
      </w:r>
    </w:p>
    <w:p w14:paraId="665738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（一）根据科学研究的发展，对该技术的安全性、有效性有认识上的改变；</w:t>
      </w:r>
    </w:p>
    <w:p w14:paraId="55FD37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（二）临床应用过程中发生</w:t>
      </w:r>
      <w:r>
        <w:rPr>
          <w:rFonts w:hint="eastAsia" w:ascii="仿宋" w:hAnsi="仿宋" w:eastAsia="仿宋" w:cs="仿宋"/>
          <w:i w:val="0"/>
          <w:iCs w:val="0"/>
          <w:caps w:val="0"/>
          <w:color w:val="484848"/>
          <w:spacing w:val="0"/>
          <w:sz w:val="32"/>
          <w:szCs w:val="32"/>
          <w:highlight w:val="cyan"/>
          <w:u w:val="none"/>
          <w:bdr w:val="none" w:color="auto" w:sz="0" w:space="0"/>
        </w:rPr>
        <w:t>严重不良反应</w:t>
      </w:r>
      <w:r>
        <w:rPr>
          <w:rFonts w:hint="eastAsia" w:ascii="仿宋" w:hAnsi="仿宋" w:eastAsia="仿宋" w:cs="仿宋"/>
          <w:i w:val="0"/>
          <w:iCs w:val="0"/>
          <w:caps w:val="0"/>
          <w:color w:val="484848"/>
          <w:spacing w:val="0"/>
          <w:sz w:val="32"/>
          <w:szCs w:val="32"/>
          <w:u w:val="none"/>
          <w:bdr w:val="none" w:color="auto" w:sz="0" w:space="0"/>
        </w:rPr>
        <w:t>或者出现不可控制的风险；</w:t>
      </w:r>
    </w:p>
    <w:p w14:paraId="53A4F4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（三）在临床应用过程中造成重大社会稳定风险或者发生影响社会稳定重大事件的；</w:t>
      </w:r>
    </w:p>
    <w:p w14:paraId="7BF36A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（四）国家卫生健康委规定的其他情形。</w:t>
      </w:r>
    </w:p>
    <w:p w14:paraId="6A520B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再评估工作由医管中心会同生物中心组织实施，临床应用安全性、有效性参照</w:t>
      </w:r>
      <w:r>
        <w:rPr>
          <w:rFonts w:hint="eastAsia" w:ascii="仿宋" w:hAnsi="仿宋" w:eastAsia="仿宋" w:cs="仿宋"/>
          <w:i w:val="0"/>
          <w:iCs w:val="0"/>
          <w:caps w:val="0"/>
          <w:color w:val="484848"/>
          <w:spacing w:val="0"/>
          <w:sz w:val="32"/>
          <w:szCs w:val="32"/>
          <w:highlight w:val="cyan"/>
          <w:u w:val="none"/>
          <w:bdr w:val="none" w:color="auto" w:sz="0" w:space="0"/>
        </w:rPr>
        <w:t>《医疗技术临床应用情况评估工作规程》</w:t>
      </w:r>
      <w:r>
        <w:rPr>
          <w:rFonts w:hint="eastAsia" w:ascii="仿宋" w:hAnsi="仿宋" w:eastAsia="仿宋" w:cs="仿宋"/>
          <w:i w:val="0"/>
          <w:iCs w:val="0"/>
          <w:caps w:val="0"/>
          <w:color w:val="484848"/>
          <w:spacing w:val="0"/>
          <w:sz w:val="32"/>
          <w:szCs w:val="32"/>
          <w:u w:val="none"/>
          <w:bdr w:val="none" w:color="auto" w:sz="0" w:space="0"/>
        </w:rPr>
        <w:t>进行，必要时组织专家再次进行技术评估。评估过程中同时进行卫生经济学评估，并与适应症相同的医疗技术、药品、医疗器械进行对比。</w:t>
      </w:r>
    </w:p>
    <w:p w14:paraId="0AF606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参与临床转化应用审批的评估专家应当回避。</w:t>
      </w:r>
    </w:p>
    <w:p w14:paraId="7F4A1F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经评估不能保证安全、有效的，国家卫生健康委将禁止临床应用该技术并向社会公布。</w:t>
      </w:r>
      <w:bookmarkStart w:id="0" w:name="_GoBack"/>
      <w:bookmarkEnd w:id="0"/>
    </w:p>
    <w:p w14:paraId="1A4AD2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第二十四条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省级卫生健康部门应当建立健全生物医学新技术临床应用管理体系，加强技术指导。县级以上卫生健康部门应当对辖区内生物医学新技术临床应用情况进行监督检查，发现违法违规行为，按照《生物医学新技术临床研究和临床转化应用管理条例》等有关规定进行处理。</w:t>
      </w:r>
    </w:p>
    <w:p w14:paraId="60707B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b/>
          <w:bCs/>
          <w:i w:val="0"/>
          <w:iCs w:val="0"/>
          <w:caps w:val="0"/>
          <w:color w:val="484848"/>
          <w:spacing w:val="0"/>
          <w:sz w:val="32"/>
          <w:szCs w:val="32"/>
          <w:u w:val="none"/>
          <w:bdr w:val="none" w:color="auto" w:sz="0" w:space="0"/>
        </w:rPr>
        <w:t> </w:t>
      </w:r>
    </w:p>
    <w:p w14:paraId="6E6E3B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center"/>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第五章 附则</w:t>
      </w:r>
    </w:p>
    <w:p w14:paraId="52B383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第二十五条</w:t>
      </w:r>
      <w:r>
        <w:rPr>
          <w:rFonts w:hint="eastAsia" w:ascii="仿宋" w:hAnsi="仿宋" w:eastAsia="仿宋" w:cs="仿宋"/>
          <w:i w:val="0"/>
          <w:iCs w:val="0"/>
          <w:caps w:val="0"/>
          <w:color w:val="484848"/>
          <w:spacing w:val="0"/>
          <w:sz w:val="32"/>
          <w:szCs w:val="32"/>
          <w:u w:val="none"/>
          <w:bdr w:val="none" w:color="auto" w:sz="0" w:space="0"/>
        </w:rPr>
        <w:t> 本规范由国家卫生健康委负责解释。</w:t>
      </w:r>
    </w:p>
    <w:p w14:paraId="393F39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484848"/>
          <w:spacing w:val="0"/>
          <w:sz w:val="32"/>
          <w:szCs w:val="32"/>
          <w:u w:val="none"/>
        </w:rPr>
      </w:pPr>
      <w:r>
        <w:rPr>
          <w:rFonts w:hint="eastAsia" w:ascii="黑体" w:hAnsi="宋体" w:eastAsia="黑体" w:cs="黑体"/>
          <w:i w:val="0"/>
          <w:iCs w:val="0"/>
          <w:caps w:val="0"/>
          <w:color w:val="484848"/>
          <w:spacing w:val="0"/>
          <w:sz w:val="32"/>
          <w:szCs w:val="32"/>
          <w:u w:val="none"/>
          <w:bdr w:val="none" w:color="auto" w:sz="0" w:space="0"/>
        </w:rPr>
        <w:t>第二十六条</w:t>
      </w:r>
      <w:r>
        <w:rPr>
          <w:rFonts w:hint="eastAsia" w:ascii="仿宋" w:hAnsi="仿宋" w:eastAsia="仿宋" w:cs="仿宋"/>
          <w:b/>
          <w:bCs/>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t>本规范自2026年5月1日起施行。</w:t>
      </w:r>
    </w:p>
    <w:p w14:paraId="51E321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p>
    <w:p w14:paraId="2CC18D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    附件：</w:t>
      </w:r>
      <w:r>
        <w:rPr>
          <w:rFonts w:hint="eastAsia" w:ascii="仿宋" w:hAnsi="仿宋" w:eastAsia="仿宋" w:cs="仿宋"/>
          <w:i w:val="0"/>
          <w:iCs w:val="0"/>
          <w:caps w:val="0"/>
          <w:color w:val="484848"/>
          <w:spacing w:val="0"/>
          <w:sz w:val="32"/>
          <w:szCs w:val="32"/>
          <w:u w:val="none"/>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仿宋" w:hAnsi="仿宋" w:eastAsia="仿宋" w:cs="仿宋"/>
          <w:i w:val="0"/>
          <w:iCs w:val="0"/>
          <w:caps w:val="0"/>
          <w:color w:val="484848"/>
          <w:spacing w:val="0"/>
          <w:sz w:val="32"/>
          <w:szCs w:val="32"/>
          <w:u w:val="none"/>
          <w:bdr w:val="none" w:color="auto" w:sz="0" w:space="0"/>
        </w:rPr>
        <w:fldChar w:fldCharType="begin"/>
      </w:r>
      <w:r>
        <w:rPr>
          <w:rFonts w:hint="eastAsia" w:ascii="仿宋" w:hAnsi="仿宋" w:eastAsia="仿宋" w:cs="仿宋"/>
          <w:i w:val="0"/>
          <w:iCs w:val="0"/>
          <w:caps w:val="0"/>
          <w:color w:val="484848"/>
          <w:spacing w:val="0"/>
          <w:sz w:val="32"/>
          <w:szCs w:val="32"/>
          <w:u w:val="none"/>
          <w:bdr w:val="none" w:color="auto" w:sz="0" w:space="0"/>
        </w:rPr>
        <w:instrText xml:space="preserve"> HYPERLINK "https://www.nhc.gov.cn/qjjys/c100016/202604/6d64fdc552ee49f4abba44831d189201/files/1.%E7%94%9F%E7%89%A9%E5%8C%BB%E5%AD%A6%E6%96%B0%E6%8A%80%E6%9C%AF%E4%B8%B4%E5%BA%8A%E8%BD%AC%E5%8C%96%E5%BA%94%E7%94%A8%E7%94%B3%E8%AF%B7%E4%B9%A6.docx" \t "https://www.nhc.gov.cn/qjjys/c100016/202604/_blank" </w:instrText>
      </w:r>
      <w:r>
        <w:rPr>
          <w:rFonts w:hint="eastAsia" w:ascii="仿宋" w:hAnsi="仿宋" w:eastAsia="仿宋" w:cs="仿宋"/>
          <w:i w:val="0"/>
          <w:iCs w:val="0"/>
          <w:caps w:val="0"/>
          <w:color w:val="484848"/>
          <w:spacing w:val="0"/>
          <w:sz w:val="32"/>
          <w:szCs w:val="32"/>
          <w:u w:val="none"/>
          <w:bdr w:val="none" w:color="auto" w:sz="0" w:space="0"/>
        </w:rPr>
        <w:fldChar w:fldCharType="separate"/>
      </w:r>
      <w:r>
        <w:rPr>
          <w:rStyle w:val="5"/>
          <w:rFonts w:hint="eastAsia" w:ascii="仿宋" w:hAnsi="仿宋" w:eastAsia="仿宋" w:cs="仿宋"/>
          <w:i w:val="0"/>
          <w:iCs w:val="0"/>
          <w:caps w:val="0"/>
          <w:color w:val="484848"/>
          <w:spacing w:val="0"/>
          <w:sz w:val="32"/>
          <w:szCs w:val="32"/>
          <w:u w:val="none"/>
          <w:bdr w:val="none" w:color="auto" w:sz="0" w:space="0"/>
        </w:rPr>
        <w:t>1.生物医学新技术临床转化应用申请书</w:t>
      </w:r>
      <w:r>
        <w:rPr>
          <w:rFonts w:hint="eastAsia" w:ascii="仿宋" w:hAnsi="仿宋" w:eastAsia="仿宋" w:cs="仿宋"/>
          <w:i w:val="0"/>
          <w:iCs w:val="0"/>
          <w:caps w:val="0"/>
          <w:color w:val="484848"/>
          <w:spacing w:val="0"/>
          <w:sz w:val="32"/>
          <w:szCs w:val="32"/>
          <w:u w:val="none"/>
          <w:bdr w:val="none" w:color="auto" w:sz="0" w:space="0"/>
        </w:rPr>
        <w:fldChar w:fldCharType="end"/>
      </w:r>
    </w:p>
    <w:p w14:paraId="3140AD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仿宋" w:hAnsi="仿宋" w:eastAsia="仿宋" w:cs="仿宋"/>
          <w:i w:val="0"/>
          <w:iCs w:val="0"/>
          <w:caps w:val="0"/>
          <w:color w:val="484848"/>
          <w:spacing w:val="0"/>
          <w:sz w:val="32"/>
          <w:szCs w:val="32"/>
          <w:u w:val="none"/>
          <w:bdr w:val="none" w:color="auto" w:sz="0" w:space="0"/>
        </w:rPr>
        <w:fldChar w:fldCharType="begin"/>
      </w:r>
      <w:r>
        <w:rPr>
          <w:rFonts w:hint="eastAsia" w:ascii="仿宋" w:hAnsi="仿宋" w:eastAsia="仿宋" w:cs="仿宋"/>
          <w:i w:val="0"/>
          <w:iCs w:val="0"/>
          <w:caps w:val="0"/>
          <w:color w:val="484848"/>
          <w:spacing w:val="0"/>
          <w:sz w:val="32"/>
          <w:szCs w:val="32"/>
          <w:u w:val="none"/>
          <w:bdr w:val="none" w:color="auto" w:sz="0" w:space="0"/>
        </w:rPr>
        <w:instrText xml:space="preserve"> HYPERLINK "https://www.nhc.gov.cn/qjjys/c100016/202604/6d64fdc552ee49f4abba44831d189201/files/2.%E7%94%9F%E7%89%A9%E5%8C%BB%E5%AD%A6%E6%96%B0%E6%8A%80%E6%9C%AF%E4%B8%B4%E5%BA%8A%E8%BD%AC%E5%8C%96%E5%BA%94%E7%94%A8%E7%94%B3%E8%AF%B7%E5%BD%A2%E5%BC%8F%E5%AE%A1%E6%9F%A5%E6%9D%A1%E4%BB%B6%E8%A6%81%E6%B1%82.docx" \t "https://www.nhc.gov.cn/qjjys/c100016/202604/_blank" </w:instrText>
      </w:r>
      <w:r>
        <w:rPr>
          <w:rFonts w:hint="eastAsia" w:ascii="仿宋" w:hAnsi="仿宋" w:eastAsia="仿宋" w:cs="仿宋"/>
          <w:i w:val="0"/>
          <w:iCs w:val="0"/>
          <w:caps w:val="0"/>
          <w:color w:val="484848"/>
          <w:spacing w:val="0"/>
          <w:sz w:val="32"/>
          <w:szCs w:val="32"/>
          <w:u w:val="none"/>
          <w:bdr w:val="none" w:color="auto" w:sz="0" w:space="0"/>
        </w:rPr>
        <w:fldChar w:fldCharType="separate"/>
      </w:r>
      <w:r>
        <w:rPr>
          <w:rStyle w:val="5"/>
          <w:rFonts w:hint="eastAsia" w:ascii="仿宋" w:hAnsi="仿宋" w:eastAsia="仿宋" w:cs="仿宋"/>
          <w:i w:val="0"/>
          <w:iCs w:val="0"/>
          <w:caps w:val="0"/>
          <w:color w:val="484848"/>
          <w:spacing w:val="0"/>
          <w:sz w:val="32"/>
          <w:szCs w:val="32"/>
          <w:u w:val="none"/>
          <w:bdr w:val="none" w:color="auto" w:sz="0" w:space="0"/>
        </w:rPr>
        <w:t>2.生物医学新技术临床转化应用申请形式审查条件要求</w:t>
      </w:r>
      <w:r>
        <w:rPr>
          <w:rFonts w:hint="eastAsia" w:ascii="仿宋" w:hAnsi="仿宋" w:eastAsia="仿宋" w:cs="仿宋"/>
          <w:i w:val="0"/>
          <w:iCs w:val="0"/>
          <w:caps w:val="0"/>
          <w:color w:val="484848"/>
          <w:spacing w:val="0"/>
          <w:sz w:val="32"/>
          <w:szCs w:val="32"/>
          <w:u w:val="none"/>
          <w:bdr w:val="none" w:color="auto" w:sz="0" w:space="0"/>
        </w:rPr>
        <w:fldChar w:fldCharType="end"/>
      </w:r>
    </w:p>
    <w:p w14:paraId="110058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          </w:t>
      </w:r>
      <w:r>
        <w:rPr>
          <w:rFonts w:hint="eastAsia" w:ascii="仿宋" w:hAnsi="仿宋" w:eastAsia="仿宋" w:cs="仿宋"/>
          <w:i w:val="0"/>
          <w:iCs w:val="0"/>
          <w:caps w:val="0"/>
          <w:color w:val="484848"/>
          <w:spacing w:val="0"/>
          <w:sz w:val="32"/>
          <w:szCs w:val="32"/>
          <w:u w:val="none"/>
          <w:bdr w:val="none" w:color="auto" w:sz="0" w:space="0"/>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仿宋" w:hAnsi="仿宋" w:eastAsia="仿宋" w:cs="仿宋"/>
          <w:i w:val="0"/>
          <w:iCs w:val="0"/>
          <w:caps w:val="0"/>
          <w:color w:val="484848"/>
          <w:spacing w:val="0"/>
          <w:sz w:val="32"/>
          <w:szCs w:val="32"/>
          <w:u w:val="none"/>
          <w:bdr w:val="none" w:color="auto" w:sz="0" w:space="0"/>
        </w:rPr>
        <w:fldChar w:fldCharType="begin"/>
      </w:r>
      <w:r>
        <w:rPr>
          <w:rFonts w:hint="eastAsia" w:ascii="仿宋" w:hAnsi="仿宋" w:eastAsia="仿宋" w:cs="仿宋"/>
          <w:i w:val="0"/>
          <w:iCs w:val="0"/>
          <w:caps w:val="0"/>
          <w:color w:val="484848"/>
          <w:spacing w:val="0"/>
          <w:sz w:val="32"/>
          <w:szCs w:val="32"/>
          <w:u w:val="none"/>
          <w:bdr w:val="none" w:color="auto" w:sz="0" w:space="0"/>
        </w:rPr>
        <w:instrText xml:space="preserve"> HYPERLINK "https://www.nhc.gov.cn/qjjys/c100016/202604/6d64fdc552ee49f4abba44831d189201/files/3.%E7%94%9F%E7%89%A9%E5%8C%BB%E5%AD%A6%E6%96%B0%E6%8A%80%E6%9C%AF%E4%B8%B4%E5%BA%8A%E8%BD%AC%E5%8C%96%E5%BA%94%E7%94%A8%E4%BC%98%E5%85%88%E5%AE%A1%E6%9F%A5%E5%AE%A1%E6%89%B9%E7%94%B3%E8%AF%B7%E8%A1%A8.docx" \t "https://www.nhc.gov.cn/qjjys/c100016/202604/_blank" </w:instrText>
      </w:r>
      <w:r>
        <w:rPr>
          <w:rFonts w:hint="eastAsia" w:ascii="仿宋" w:hAnsi="仿宋" w:eastAsia="仿宋" w:cs="仿宋"/>
          <w:i w:val="0"/>
          <w:iCs w:val="0"/>
          <w:caps w:val="0"/>
          <w:color w:val="484848"/>
          <w:spacing w:val="0"/>
          <w:sz w:val="32"/>
          <w:szCs w:val="32"/>
          <w:u w:val="none"/>
          <w:bdr w:val="none" w:color="auto" w:sz="0" w:space="0"/>
        </w:rPr>
        <w:fldChar w:fldCharType="separate"/>
      </w:r>
      <w:r>
        <w:rPr>
          <w:rStyle w:val="5"/>
          <w:rFonts w:hint="eastAsia" w:ascii="仿宋" w:hAnsi="仿宋" w:eastAsia="仿宋" w:cs="仿宋"/>
          <w:i w:val="0"/>
          <w:iCs w:val="0"/>
          <w:caps w:val="0"/>
          <w:color w:val="484848"/>
          <w:spacing w:val="0"/>
          <w:sz w:val="32"/>
          <w:szCs w:val="32"/>
          <w:u w:val="none"/>
          <w:bdr w:val="none" w:color="auto" w:sz="0" w:space="0"/>
        </w:rPr>
        <w:t>3.生物医学新技术临床转化应用优先审查审批申请表</w:t>
      </w:r>
      <w:r>
        <w:rPr>
          <w:rFonts w:hint="eastAsia" w:ascii="仿宋" w:hAnsi="仿宋" w:eastAsia="仿宋" w:cs="仿宋"/>
          <w:i w:val="0"/>
          <w:iCs w:val="0"/>
          <w:caps w:val="0"/>
          <w:color w:val="484848"/>
          <w:spacing w:val="0"/>
          <w:sz w:val="32"/>
          <w:szCs w:val="32"/>
          <w:u w:val="none"/>
          <w:bdr w:val="none" w:color="auto" w:sz="0" w:space="0"/>
        </w:rPr>
        <w:fldChar w:fldCharType="end"/>
      </w:r>
    </w:p>
    <w:p w14:paraId="60F385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eastAsia" w:ascii="仿宋" w:hAnsi="仿宋" w:eastAsia="仿宋" w:cs="仿宋"/>
          <w:i w:val="0"/>
          <w:iCs w:val="0"/>
          <w:caps w:val="0"/>
          <w:color w:val="484848"/>
          <w:spacing w:val="0"/>
          <w:sz w:val="32"/>
          <w:szCs w:val="32"/>
          <w:u w:val="none"/>
        </w:rPr>
      </w:pPr>
    </w:p>
    <w:p w14:paraId="2A5912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eastAsia" w:ascii="仿宋" w:hAnsi="仿宋" w:eastAsia="仿宋" w:cs="仿宋"/>
          <w:i w:val="0"/>
          <w:iCs w:val="0"/>
          <w:caps w:val="0"/>
          <w:color w:val="484848"/>
          <w:spacing w:val="0"/>
          <w:sz w:val="32"/>
          <w:szCs w:val="32"/>
          <w:u w:val="none"/>
        </w:rPr>
      </w:pPr>
    </w:p>
    <w:p w14:paraId="3D1B57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仿宋" w:hAnsi="仿宋" w:eastAsia="仿宋" w:cs="仿宋"/>
          <w:i w:val="0"/>
          <w:iCs w:val="0"/>
          <w:caps w:val="0"/>
          <w:color w:val="484848"/>
          <w:spacing w:val="0"/>
          <w:sz w:val="32"/>
          <w:szCs w:val="32"/>
          <w:u w:val="none"/>
        </w:rPr>
      </w:pPr>
      <w:r>
        <w:rPr>
          <w:rFonts w:hint="eastAsia" w:ascii="仿宋" w:hAnsi="仿宋" w:eastAsia="仿宋" w:cs="仿宋"/>
          <w:i w:val="0"/>
          <w:iCs w:val="0"/>
          <w:caps w:val="0"/>
          <w:color w:val="484848"/>
          <w:spacing w:val="0"/>
          <w:sz w:val="32"/>
          <w:szCs w:val="32"/>
          <w:u w:val="none"/>
          <w:bdr w:val="none" w:color="auto" w:sz="0" w:space="0"/>
        </w:rPr>
        <w:t>相关链接：</w:t>
      </w:r>
      <w:r>
        <w:rPr>
          <w:rFonts w:hint="eastAsia" w:ascii="仿宋" w:hAnsi="仿宋" w:eastAsia="仿宋" w:cs="仿宋"/>
          <w:i w:val="0"/>
          <w:iCs w:val="0"/>
          <w:caps w:val="0"/>
          <w:color w:val="484848"/>
          <w:spacing w:val="0"/>
          <w:sz w:val="32"/>
          <w:szCs w:val="32"/>
          <w:u w:val="none"/>
          <w:bdr w:val="none" w:color="auto" w:sz="0" w:space="0"/>
        </w:rPr>
        <w:fldChar w:fldCharType="begin"/>
      </w:r>
      <w:r>
        <w:rPr>
          <w:rFonts w:hint="eastAsia" w:ascii="仿宋" w:hAnsi="仿宋" w:eastAsia="仿宋" w:cs="仿宋"/>
          <w:i w:val="0"/>
          <w:iCs w:val="0"/>
          <w:caps w:val="0"/>
          <w:color w:val="484848"/>
          <w:spacing w:val="0"/>
          <w:sz w:val="32"/>
          <w:szCs w:val="32"/>
          <w:u w:val="none"/>
          <w:bdr w:val="none" w:color="auto" w:sz="0" w:space="0"/>
        </w:rPr>
        <w:instrText xml:space="preserve"> HYPERLINK "https://www.nhc.gov.cn/qjjys/c100015/202604/10388c527bd843d4b13fad76ee2c56a2.shtml" </w:instrText>
      </w:r>
      <w:r>
        <w:rPr>
          <w:rFonts w:hint="eastAsia" w:ascii="仿宋" w:hAnsi="仿宋" w:eastAsia="仿宋" w:cs="仿宋"/>
          <w:i w:val="0"/>
          <w:iCs w:val="0"/>
          <w:caps w:val="0"/>
          <w:color w:val="484848"/>
          <w:spacing w:val="0"/>
          <w:sz w:val="32"/>
          <w:szCs w:val="32"/>
          <w:u w:val="none"/>
          <w:bdr w:val="none" w:color="auto" w:sz="0" w:space="0"/>
        </w:rPr>
        <w:fldChar w:fldCharType="separate"/>
      </w:r>
      <w:r>
        <w:rPr>
          <w:rStyle w:val="5"/>
          <w:rFonts w:hint="eastAsia" w:ascii="仿宋" w:hAnsi="仿宋" w:eastAsia="仿宋" w:cs="仿宋"/>
          <w:i w:val="0"/>
          <w:iCs w:val="0"/>
          <w:caps w:val="0"/>
          <w:color w:val="484848"/>
          <w:spacing w:val="0"/>
          <w:sz w:val="32"/>
          <w:szCs w:val="32"/>
          <w:u w:val="none"/>
          <w:bdr w:val="none" w:color="auto" w:sz="0" w:space="0"/>
        </w:rPr>
        <w:t>《关于印发生物医学新技术临床转化应用审批工作规范（试行）的通知》解读</w:t>
      </w:r>
      <w:r>
        <w:rPr>
          <w:rFonts w:hint="eastAsia" w:ascii="仿宋" w:hAnsi="仿宋" w:eastAsia="仿宋" w:cs="仿宋"/>
          <w:i w:val="0"/>
          <w:iCs w:val="0"/>
          <w:caps w:val="0"/>
          <w:color w:val="484848"/>
          <w:spacing w:val="0"/>
          <w:sz w:val="32"/>
          <w:szCs w:val="32"/>
          <w:u w:val="none"/>
          <w:bdr w:val="none" w:color="auto" w:sz="0" w:space="0"/>
        </w:rPr>
        <w:fldChar w:fldCharType="end"/>
      </w:r>
    </w:p>
    <w:p w14:paraId="016A7B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005C5"/>
    <w:rsid w:val="66AD7A39"/>
    <w:rsid w:val="75DD5EBD"/>
    <w:rsid w:val="7DD5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65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2026-05-06T01:59:08Z</dcterms:created>
  <dc:creator>Administrator</dc:creator>
  <cp:lastModifiedBy>王龚</cp:lastModifiedBy>
  <dcterms:modified xsi:type="dcterms:W3CDTF">2026-05-06T03:09:30Z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eyJoZGlkIjoiYzAyMjRmNjM0OGMyMTI0MThiZDAxYzI0NWIyMzNiNTEiLCJ1c2VySWQiOiIyMzc3NTE4MjYifQ==</vt:lpwstr>
  </property>
  <property fmtid="{D5CDD505-2E9C-101B-9397-08002B2CF9AE}" pid="4" name="ICV">
    <vt:lpwstr>424C84D08A2E4C5DACF14AFA28293FF1_12</vt:lpwstr>
  </property>
</Properties>
</file>